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8AEAD">
      <w:pPr>
        <w:jc w:val="center"/>
        <w:rPr>
          <w:rFonts w:ascii="黑体" w:hAnsi="黑体" w:eastAsia="黑体" w:cs="黑体"/>
          <w:b/>
          <w:bCs/>
          <w:sz w:val="36"/>
          <w:szCs w:val="36"/>
        </w:rPr>
      </w:pPr>
      <w:r>
        <w:rPr>
          <w:rFonts w:hint="eastAsia" w:ascii="黑体" w:hAnsi="黑体" w:eastAsia="黑体" w:cs="黑体"/>
          <w:b/>
          <w:bCs/>
          <w:sz w:val="36"/>
          <w:szCs w:val="36"/>
          <w:lang w:val="en-US" w:eastAsia="zh-CN"/>
        </w:rPr>
        <w:t>工程</w:t>
      </w:r>
      <w:r>
        <w:rPr>
          <w:rFonts w:hint="eastAsia" w:ascii="黑体" w:hAnsi="黑体" w:eastAsia="黑体" w:cs="黑体"/>
          <w:b/>
          <w:bCs/>
          <w:sz w:val="36"/>
          <w:szCs w:val="36"/>
        </w:rPr>
        <w:t>量清单总说明</w:t>
      </w:r>
    </w:p>
    <w:p w14:paraId="769D743C">
      <w:pPr>
        <w:pStyle w:val="4"/>
        <w:keepNext w:val="0"/>
        <w:keepLines w:val="0"/>
        <w:widowControl/>
        <w:suppressLineNumbers w:val="0"/>
        <w:spacing w:before="0" w:beforeAutospacing="0" w:after="0" w:afterAutospacing="0"/>
        <w:ind w:left="0" w:right="0" w:firstLine="640" w:firstLineChars="200"/>
        <w:rPr>
          <w:rFonts w:hint="default" w:eastAsia="宋体"/>
          <w:lang w:val="en-US" w:eastAsia="zh-CN"/>
        </w:rPr>
      </w:pPr>
      <w:r>
        <w:rPr>
          <w:rFonts w:hint="eastAsia" w:ascii="仿宋GB2312" w:hAnsi="仿宋GB2312" w:eastAsia="仿宋GB2312" w:cs="仿宋GB2312"/>
          <w:kern w:val="0"/>
          <w:sz w:val="32"/>
          <w:szCs w:val="32"/>
          <w:lang w:val="en-US" w:eastAsia="zh-CN" w:bidi="ar-SA"/>
        </w:rPr>
        <w:t>1.工程概况：</w:t>
      </w:r>
      <w:r>
        <w:rPr>
          <w:rFonts w:hint="eastAsia" w:ascii="仿宋GB2312" w:hAnsi="仿宋GB2312" w:eastAsia="仿宋GB2312" w:cs="仿宋GB2312"/>
          <w:sz w:val="32"/>
          <w:szCs w:val="32"/>
          <w:lang w:val="en-US" w:eastAsia="zh-CN"/>
        </w:rPr>
        <w:t>古勒巴格村采购太阳能路灯200盏。</w:t>
      </w:r>
    </w:p>
    <w:p w14:paraId="116DF60E">
      <w:pPr>
        <w:pStyle w:val="4"/>
        <w:spacing w:beforeAutospacing="0" w:afterAutospacing="0"/>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rPr>
        <w:t>2. 招标范围：</w:t>
      </w:r>
      <w:r>
        <w:rPr>
          <w:rFonts w:hint="eastAsia" w:ascii="仿宋GB2312" w:hAnsi="仿宋GB2312" w:eastAsia="仿宋GB2312" w:cs="仿宋GB2312"/>
          <w:sz w:val="32"/>
          <w:szCs w:val="32"/>
          <w:lang w:val="en-US" w:eastAsia="zh-CN"/>
        </w:rPr>
        <w:t>建设单位提供的工程量清单及答疑规定的全部内容。</w:t>
      </w:r>
    </w:p>
    <w:p w14:paraId="00F43E3E">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rPr>
        <w:t>3. 清单编制依据：《建设工程工程量清单计价规范》（GB50500-2013）和《房屋建筑与装饰工程工程量计算规范》（GB50854-2013）。</w:t>
      </w:r>
      <w:bookmarkStart w:id="0" w:name="_GoBack"/>
      <w:bookmarkEnd w:id="0"/>
    </w:p>
    <w:p w14:paraId="23BFCACD">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rPr>
        <w:t>4. 规费包括：工程排污费</w:t>
      </w:r>
      <w:r>
        <w:rPr>
          <w:rFonts w:hint="eastAsia" w:ascii="仿宋GB2312" w:hAnsi="仿宋GB2312" w:eastAsia="仿宋GB2312" w:cs="仿宋GB2312"/>
          <w:sz w:val="32"/>
          <w:szCs w:val="32"/>
          <w:lang w:val="en-US" w:eastAsia="zh-CN"/>
        </w:rPr>
        <w:t>、</w:t>
      </w:r>
      <w:r>
        <w:rPr>
          <w:rFonts w:hint="eastAsia" w:ascii="仿宋GB2312" w:hAnsi="仿宋GB2312" w:eastAsia="仿宋GB2312" w:cs="仿宋GB2312"/>
          <w:sz w:val="32"/>
          <w:szCs w:val="32"/>
        </w:rPr>
        <w:t>养老保险费、失业保险费、医疗保险费、</w:t>
      </w:r>
      <w:r>
        <w:rPr>
          <w:rFonts w:hint="eastAsia" w:ascii="仿宋GB2312" w:hAnsi="仿宋GB2312" w:eastAsia="仿宋GB2312" w:cs="仿宋GB2312"/>
          <w:sz w:val="32"/>
          <w:szCs w:val="32"/>
          <w:lang w:val="en-US" w:eastAsia="zh-CN"/>
        </w:rPr>
        <w:t>生育保险费、工伤</w:t>
      </w:r>
      <w:r>
        <w:rPr>
          <w:rFonts w:hint="eastAsia" w:ascii="仿宋GB2312" w:hAnsi="仿宋GB2312" w:eastAsia="仿宋GB2312" w:cs="仿宋GB2312"/>
          <w:sz w:val="32"/>
          <w:szCs w:val="32"/>
        </w:rPr>
        <w:t>保险</w:t>
      </w:r>
      <w:r>
        <w:rPr>
          <w:rFonts w:hint="eastAsia" w:ascii="仿宋GB2312" w:hAnsi="仿宋GB2312" w:eastAsia="仿宋GB2312" w:cs="仿宋GB2312"/>
          <w:sz w:val="32"/>
          <w:szCs w:val="32"/>
          <w:lang w:val="en-US" w:eastAsia="zh-CN"/>
        </w:rPr>
        <w:t>费</w:t>
      </w:r>
      <w:r>
        <w:rPr>
          <w:rFonts w:hint="eastAsia" w:ascii="仿宋GB2312" w:hAnsi="仿宋GB2312" w:eastAsia="仿宋GB2312" w:cs="仿宋GB2312"/>
          <w:sz w:val="32"/>
          <w:szCs w:val="32"/>
          <w:lang w:eastAsia="zh-CN"/>
        </w:rPr>
        <w:t>、</w:t>
      </w:r>
      <w:r>
        <w:rPr>
          <w:rFonts w:hint="eastAsia" w:ascii="仿宋GB2312" w:hAnsi="仿宋GB2312" w:eastAsia="仿宋GB2312" w:cs="仿宋GB2312"/>
          <w:sz w:val="32"/>
          <w:szCs w:val="32"/>
          <w:lang w:val="en-US" w:eastAsia="zh-CN"/>
        </w:rPr>
        <w:t>住房公积金；</w:t>
      </w:r>
      <w:r>
        <w:rPr>
          <w:rFonts w:hint="eastAsia" w:ascii="仿宋GB2312" w:hAnsi="仿宋GB2312" w:eastAsia="仿宋GB2312" w:cs="仿宋GB2312"/>
          <w:sz w:val="32"/>
          <w:szCs w:val="32"/>
        </w:rPr>
        <w:t>规费和税金必须按国家有关规定报价。</w:t>
      </w:r>
    </w:p>
    <w:p w14:paraId="66F264B4">
      <w:pPr>
        <w:ind w:firstLine="640" w:firstLineChars="200"/>
        <w:rPr>
          <w:rFonts w:ascii="仿宋GB2312" w:hAnsi="仿宋GB2312" w:eastAsia="仿宋GB2312" w:cs="仿宋GB2312"/>
          <w:sz w:val="32"/>
          <w:szCs w:val="32"/>
        </w:rPr>
      </w:pPr>
      <w:r>
        <w:rPr>
          <w:rFonts w:hint="eastAsia" w:ascii="仿宋" w:hAnsi="仿宋" w:eastAsia="仿宋" w:cs="仿宋"/>
          <w:sz w:val="32"/>
          <w:szCs w:val="32"/>
          <w:lang w:val="en-US" w:eastAsia="zh-CN"/>
        </w:rPr>
        <w:t>5.</w:t>
      </w:r>
      <w:r>
        <w:rPr>
          <w:rFonts w:hint="eastAsia" w:ascii="仿宋GB2312" w:hAnsi="仿宋GB2312" w:eastAsia="仿宋GB2312" w:cs="仿宋GB2312"/>
          <w:sz w:val="32"/>
          <w:szCs w:val="32"/>
        </w:rPr>
        <w:t>工程量清单表中任何内容不得随意删除和涂改，表中列明项目投标人均应如实填报，未填报的单价和合价视为已包含在工程量清单的其他项目单价和合价中。</w:t>
      </w:r>
    </w:p>
    <w:p w14:paraId="36901AAF">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lang w:val="en-US" w:eastAsia="zh-CN"/>
        </w:rPr>
        <w:t>6.</w:t>
      </w:r>
      <w:r>
        <w:rPr>
          <w:rFonts w:hint="eastAsia" w:ascii="仿宋GB2312" w:hAnsi="仿宋GB2312" w:eastAsia="仿宋GB2312" w:cs="仿宋GB2312"/>
          <w:sz w:val="32"/>
          <w:szCs w:val="32"/>
        </w:rPr>
        <w:t>凡是工程量清单报价表中与合价不符时以单价为准，大写和小写不符以大写为准。</w:t>
      </w:r>
    </w:p>
    <w:p w14:paraId="63F82F60">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lang w:val="en-US" w:eastAsia="zh-CN"/>
        </w:rPr>
        <w:t>7.</w:t>
      </w:r>
      <w:r>
        <w:rPr>
          <w:rFonts w:hint="eastAsia" w:ascii="仿宋GB2312" w:hAnsi="仿宋GB2312" w:eastAsia="仿宋GB2312" w:cs="仿宋GB2312"/>
          <w:sz w:val="32"/>
          <w:szCs w:val="32"/>
        </w:rPr>
        <w:t>招标人提供的分部工程量清单，是投标人投标报价的基础；投标人填写的分部分项工程和单价措施项目清单与计价表，作为签订合同、拨付工程进度款和竣工结算的依据。结算工程量以合同约定为准。中标人由于自身原因造成工程量的增加不以任何形式调增。</w:t>
      </w:r>
    </w:p>
    <w:p w14:paraId="3568624D">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lang w:val="en-US" w:eastAsia="zh-CN"/>
        </w:rPr>
        <w:t>8</w:t>
      </w:r>
      <w:r>
        <w:rPr>
          <w:rFonts w:hint="eastAsia" w:ascii="仿宋GB2312" w:hAnsi="仿宋GB2312" w:eastAsia="仿宋GB2312" w:cs="仿宋GB2312"/>
          <w:sz w:val="32"/>
          <w:szCs w:val="32"/>
        </w:rPr>
        <w:t>.本次招标工程项目的投标报价是分部分项工程费、措施项目费、其他项目</w:t>
      </w:r>
      <w:r>
        <w:rPr>
          <w:rFonts w:hint="eastAsia" w:ascii="仿宋GB2312" w:hAnsi="仿宋GB2312" w:eastAsia="仿宋GB2312" w:cs="仿宋GB2312"/>
          <w:sz w:val="32"/>
          <w:szCs w:val="32"/>
          <w:lang w:val="en-US" w:eastAsia="zh-CN"/>
        </w:rPr>
        <w:t>费</w:t>
      </w:r>
      <w:r>
        <w:rPr>
          <w:rFonts w:hint="eastAsia" w:ascii="仿宋GB2312" w:hAnsi="仿宋GB2312" w:eastAsia="仿宋GB2312" w:cs="仿宋GB2312"/>
          <w:sz w:val="32"/>
          <w:szCs w:val="32"/>
        </w:rPr>
        <w:t>、规费及税金五项组成，投标人应根据招标文件中的工程清单及有关要求，结合和施工现场情况、自行制定的施工方案或施工组织设计，按照企业成本核算水平和市场价格自行组成工程项目综合单价。综合单价由完成单位工程清单项目所必需的人工费、材料费、机械费、管理费、利润等相关费用组成。</w:t>
      </w:r>
    </w:p>
    <w:p w14:paraId="117F80B8">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lang w:val="en-US" w:eastAsia="zh-CN"/>
        </w:rPr>
        <w:t>9</w:t>
      </w:r>
      <w:r>
        <w:rPr>
          <w:rFonts w:hint="eastAsia" w:ascii="仿宋GB2312" w:hAnsi="仿宋GB2312" w:eastAsia="仿宋GB2312" w:cs="仿宋GB2312"/>
          <w:sz w:val="32"/>
          <w:szCs w:val="32"/>
        </w:rPr>
        <w:t>.本次招标工程项目的脚手架使用费、混凝土、钢筋混凝土模板及支架、临时设施费、安全措施费、文明施工费、环境保护费、以及其他费用，由投标人结合工地现场条件，企业管理水平等因素，在措施项目清单中填写此部分内容的投标报价。</w:t>
      </w:r>
    </w:p>
    <w:p w14:paraId="16104025">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rPr>
        <w:t>1</w:t>
      </w:r>
      <w:r>
        <w:rPr>
          <w:rFonts w:hint="eastAsia" w:ascii="仿宋GB2312" w:hAnsi="仿宋GB2312" w:eastAsia="仿宋GB2312" w:cs="仿宋GB2312"/>
          <w:sz w:val="32"/>
          <w:szCs w:val="32"/>
          <w:lang w:val="en-US" w:eastAsia="zh-CN"/>
        </w:rPr>
        <w:t>0</w:t>
      </w:r>
      <w:r>
        <w:rPr>
          <w:rFonts w:hint="eastAsia" w:ascii="仿宋GB2312" w:hAnsi="仿宋GB2312" w:eastAsia="仿宋GB2312" w:cs="仿宋GB2312"/>
          <w:sz w:val="32"/>
          <w:szCs w:val="32"/>
        </w:rPr>
        <w:t xml:space="preserve">.投标人在措施项目中未列入的项目，认为已被投标人计入分部分项工程量清单报价中。 </w:t>
      </w:r>
    </w:p>
    <w:p w14:paraId="7E3DAFC7">
      <w:pPr>
        <w:ind w:firstLine="640" w:firstLineChars="200"/>
        <w:rPr>
          <w:rFonts w:ascii="仿宋GB2312" w:hAnsi="仿宋GB2312" w:eastAsia="仿宋GB2312" w:cs="仿宋GB2312"/>
          <w:sz w:val="32"/>
          <w:szCs w:val="32"/>
        </w:rPr>
      </w:pPr>
      <w:r>
        <w:rPr>
          <w:rFonts w:hint="eastAsia" w:ascii="仿宋GB2312" w:hAnsi="仿宋GB2312" w:eastAsia="仿宋GB2312" w:cs="仿宋GB2312"/>
          <w:sz w:val="32"/>
          <w:szCs w:val="32"/>
        </w:rPr>
        <w:t>1</w:t>
      </w:r>
      <w:r>
        <w:rPr>
          <w:rFonts w:hint="eastAsia" w:ascii="仿宋GB2312" w:hAnsi="仿宋GB2312" w:eastAsia="仿宋GB2312" w:cs="仿宋GB2312"/>
          <w:sz w:val="32"/>
          <w:szCs w:val="32"/>
          <w:lang w:val="en-US" w:eastAsia="zh-CN"/>
        </w:rPr>
        <w:t>1</w:t>
      </w:r>
      <w:r>
        <w:rPr>
          <w:rFonts w:hint="eastAsia" w:ascii="仿宋GB2312" w:hAnsi="仿宋GB2312" w:eastAsia="仿宋GB2312" w:cs="仿宋GB2312"/>
          <w:sz w:val="32"/>
          <w:szCs w:val="32"/>
        </w:rPr>
        <w:t>.清单中叙述不到位的，由投标人根据施工组织</w:t>
      </w:r>
      <w:r>
        <w:rPr>
          <w:rFonts w:hint="eastAsia" w:ascii="仿宋GB2312" w:hAnsi="仿宋GB2312" w:eastAsia="仿宋GB2312" w:cs="仿宋GB2312"/>
          <w:sz w:val="32"/>
          <w:szCs w:val="32"/>
          <w:lang w:val="en-US" w:eastAsia="zh-CN"/>
        </w:rPr>
        <w:t>设计、</w:t>
      </w:r>
      <w:r>
        <w:rPr>
          <w:rFonts w:hint="eastAsia" w:ascii="仿宋GB2312" w:hAnsi="仿宋GB2312" w:eastAsia="仿宋GB2312" w:cs="仿宋GB2312"/>
          <w:sz w:val="32"/>
          <w:szCs w:val="32"/>
        </w:rPr>
        <w:t xml:space="preserve">施工设计图答疑或变更、规范考虑在报价中。                                                       </w:t>
      </w:r>
    </w:p>
    <w:p w14:paraId="42B04D16">
      <w:pPr>
        <w:ind w:firstLine="640" w:firstLineChars="200"/>
        <w:rPr>
          <w:rFonts w:hint="eastAsia" w:ascii="仿宋GB2312" w:hAnsi="仿宋GB2312" w:eastAsia="仿宋GB2312" w:cs="仿宋GB2312"/>
          <w:sz w:val="32"/>
          <w:szCs w:val="32"/>
        </w:rPr>
      </w:pPr>
      <w:r>
        <w:rPr>
          <w:rFonts w:hint="eastAsia" w:ascii="仿宋GB2312" w:hAnsi="仿宋GB2312" w:eastAsia="仿宋GB2312" w:cs="仿宋GB2312"/>
          <w:sz w:val="32"/>
          <w:szCs w:val="32"/>
        </w:rPr>
        <w:t>1</w:t>
      </w:r>
      <w:r>
        <w:rPr>
          <w:rFonts w:hint="eastAsia" w:ascii="仿宋GB2312" w:hAnsi="仿宋GB2312" w:eastAsia="仿宋GB2312" w:cs="仿宋GB2312"/>
          <w:sz w:val="32"/>
          <w:szCs w:val="32"/>
          <w:lang w:val="en-US" w:eastAsia="zh-CN"/>
        </w:rPr>
        <w:t>2</w:t>
      </w:r>
      <w:r>
        <w:rPr>
          <w:rFonts w:hint="eastAsia" w:ascii="仿宋GB2312" w:hAnsi="仿宋GB2312" w:eastAsia="仿宋GB2312" w:cs="仿宋GB2312"/>
          <w:sz w:val="32"/>
          <w:szCs w:val="32"/>
        </w:rPr>
        <w:t>.工程量清单项目名称、项目特征所述内容为主要内容，投标人报价时应按照施工图纸、答疑及变更、施工组织设计及有关施工规范完成该项目的全部内容。</w:t>
      </w:r>
    </w:p>
    <w:p w14:paraId="7D5E1B01">
      <w:pPr>
        <w:pStyle w:val="4"/>
        <w:widowControl/>
        <w:wordWrap w:val="0"/>
        <w:spacing w:beforeAutospacing="0" w:afterAutospacing="0"/>
        <w:ind w:firstLine="640" w:firstLineChars="200"/>
        <w:rPr>
          <w:rFonts w:ascii="仿宋GB2312" w:hAnsi="仿宋GB2312" w:eastAsia="仿宋GB2312" w:cs="仿宋GB2312"/>
          <w:kern w:val="2"/>
          <w:sz w:val="32"/>
          <w:szCs w:val="32"/>
        </w:rPr>
      </w:pPr>
      <w:r>
        <w:rPr>
          <w:rFonts w:hint="eastAsia" w:ascii="仿宋GB2312" w:hAnsi="仿宋GB2312" w:eastAsia="仿宋GB2312" w:cs="仿宋GB2312"/>
          <w:sz w:val="32"/>
          <w:szCs w:val="32"/>
          <w:lang w:val="en-US" w:eastAsia="zh-CN"/>
        </w:rPr>
        <w:t>13.</w:t>
      </w:r>
      <w:r>
        <w:rPr>
          <w:rFonts w:hint="eastAsia" w:ascii="仿宋GB2312" w:hAnsi="仿宋GB2312" w:eastAsia="仿宋GB2312" w:cs="仿宋GB2312"/>
          <w:kern w:val="2"/>
          <w:sz w:val="32"/>
          <w:szCs w:val="32"/>
        </w:rPr>
        <w:t>本工程按2019年4月8日第一师阿拉尔市建设局发布的【2019】31号文</w:t>
      </w:r>
      <w:r>
        <w:rPr>
          <w:rFonts w:hint="eastAsia" w:ascii="宋体" w:hAnsi="宋体" w:cs="宋体"/>
          <w:kern w:val="2"/>
          <w:sz w:val="32"/>
          <w:szCs w:val="32"/>
        </w:rPr>
        <w:t>«</w:t>
      </w:r>
      <w:r>
        <w:rPr>
          <w:rFonts w:hint="eastAsia" w:ascii="仿宋GB2312" w:hAnsi="仿宋GB2312" w:eastAsia="仿宋GB2312" w:cs="仿宋GB2312"/>
          <w:kern w:val="2"/>
          <w:sz w:val="32"/>
          <w:szCs w:val="32"/>
        </w:rPr>
        <w:t>关于建筑业营业税改增值税调整新疆建设工程计价依据的实施意见</w:t>
      </w:r>
      <w:r>
        <w:rPr>
          <w:rFonts w:hint="eastAsia" w:ascii="宋体" w:hAnsi="宋体" w:cs="宋体"/>
          <w:kern w:val="2"/>
          <w:sz w:val="32"/>
          <w:szCs w:val="32"/>
        </w:rPr>
        <w:t>»</w:t>
      </w:r>
      <w:r>
        <w:rPr>
          <w:rFonts w:hint="eastAsia" w:ascii="仿宋GB2312" w:hAnsi="仿宋GB2312" w:eastAsia="仿宋GB2312" w:cs="仿宋GB2312"/>
          <w:kern w:val="2"/>
          <w:sz w:val="32"/>
          <w:szCs w:val="32"/>
        </w:rPr>
        <w:t>的文件执行，以增值税9%计税。</w:t>
      </w:r>
    </w:p>
    <w:p w14:paraId="1BBCF1E9">
      <w:pPr>
        <w:numPr>
          <w:ilvl w:val="0"/>
          <w:numId w:val="0"/>
        </w:numPr>
        <w:ind w:firstLine="640" w:firstLineChars="200"/>
        <w:jc w:val="left"/>
        <w:rPr>
          <w:rFonts w:hint="eastAsia" w:ascii="仿宋GB2312" w:hAnsi="仿宋GB2312" w:eastAsia="仿宋GB2312" w:cs="仿宋GB2312"/>
          <w:kern w:val="2"/>
          <w:sz w:val="32"/>
          <w:szCs w:val="32"/>
          <w:lang w:val="en-US" w:eastAsia="zh-CN" w:bidi="ar-SA"/>
        </w:rPr>
      </w:pPr>
      <w:r>
        <w:rPr>
          <w:rFonts w:hint="eastAsia" w:ascii="仿宋GB2312" w:hAnsi="仿宋GB2312" w:eastAsia="仿宋GB2312" w:cs="仿宋GB2312"/>
          <w:color w:val="auto"/>
          <w:kern w:val="2"/>
          <w:sz w:val="32"/>
          <w:szCs w:val="32"/>
          <w:lang w:val="en-US" w:eastAsia="zh-CN"/>
        </w:rPr>
        <w:t>14.</w:t>
      </w:r>
      <w:r>
        <w:rPr>
          <w:rFonts w:hint="eastAsia" w:ascii="仿宋GB2312" w:hAnsi="仿宋GB2312" w:eastAsia="仿宋GB2312" w:cs="仿宋GB2312"/>
          <w:kern w:val="2"/>
          <w:sz w:val="32"/>
          <w:szCs w:val="32"/>
          <w:lang w:val="en-US" w:eastAsia="zh-CN" w:bidi="ar-SA"/>
        </w:rPr>
        <w:t>本工程无配合费，无总包服务费。</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GB2312">
    <w:altName w:val="仿宋"/>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jODE5ZTM5OTYyZTg5ZDY1ODVhZmJmYTNkYjg1OTEifQ=="/>
    <w:docVar w:name="KSO_WPS_MARK_KEY" w:val="58b0c30a-e86b-483a-97b6-c9d0e3829c70"/>
  </w:docVars>
  <w:rsids>
    <w:rsidRoot w:val="40B8049C"/>
    <w:rsid w:val="00024392"/>
    <w:rsid w:val="00075319"/>
    <w:rsid w:val="000A5AC9"/>
    <w:rsid w:val="000C470B"/>
    <w:rsid w:val="001722CC"/>
    <w:rsid w:val="00193154"/>
    <w:rsid w:val="00220B2C"/>
    <w:rsid w:val="00335377"/>
    <w:rsid w:val="004349A1"/>
    <w:rsid w:val="004668BE"/>
    <w:rsid w:val="004D5295"/>
    <w:rsid w:val="00503EA8"/>
    <w:rsid w:val="005137C4"/>
    <w:rsid w:val="00565816"/>
    <w:rsid w:val="005D2FB4"/>
    <w:rsid w:val="0063389D"/>
    <w:rsid w:val="006B3DC6"/>
    <w:rsid w:val="00763BF9"/>
    <w:rsid w:val="00764409"/>
    <w:rsid w:val="007922C3"/>
    <w:rsid w:val="00797CA9"/>
    <w:rsid w:val="007A0D64"/>
    <w:rsid w:val="007B0154"/>
    <w:rsid w:val="00826261"/>
    <w:rsid w:val="00917510"/>
    <w:rsid w:val="009B4764"/>
    <w:rsid w:val="00B10A37"/>
    <w:rsid w:val="00B13BA4"/>
    <w:rsid w:val="00B30AE8"/>
    <w:rsid w:val="00B80E56"/>
    <w:rsid w:val="00C67A3B"/>
    <w:rsid w:val="00CA61F0"/>
    <w:rsid w:val="00D248DD"/>
    <w:rsid w:val="00D54407"/>
    <w:rsid w:val="00D67904"/>
    <w:rsid w:val="00D81623"/>
    <w:rsid w:val="00DF244F"/>
    <w:rsid w:val="00E127A6"/>
    <w:rsid w:val="00E41230"/>
    <w:rsid w:val="00E80242"/>
    <w:rsid w:val="00EF7E68"/>
    <w:rsid w:val="00F02CDD"/>
    <w:rsid w:val="00F333B9"/>
    <w:rsid w:val="00FD4BF1"/>
    <w:rsid w:val="0CAC6F4C"/>
    <w:rsid w:val="1053086A"/>
    <w:rsid w:val="12D83002"/>
    <w:rsid w:val="13C769C6"/>
    <w:rsid w:val="13DC1ADE"/>
    <w:rsid w:val="16266AF0"/>
    <w:rsid w:val="179A46B6"/>
    <w:rsid w:val="184013FB"/>
    <w:rsid w:val="184456AD"/>
    <w:rsid w:val="1A3B5F3B"/>
    <w:rsid w:val="1AFE54CE"/>
    <w:rsid w:val="1BD456FD"/>
    <w:rsid w:val="1C9B473D"/>
    <w:rsid w:val="1CF01D00"/>
    <w:rsid w:val="1DF72105"/>
    <w:rsid w:val="20196BC7"/>
    <w:rsid w:val="205B00C2"/>
    <w:rsid w:val="205C41E0"/>
    <w:rsid w:val="20650BFC"/>
    <w:rsid w:val="2094280A"/>
    <w:rsid w:val="20D44B1D"/>
    <w:rsid w:val="21020CD1"/>
    <w:rsid w:val="21381A13"/>
    <w:rsid w:val="217B495E"/>
    <w:rsid w:val="22024C94"/>
    <w:rsid w:val="221449E3"/>
    <w:rsid w:val="22422E41"/>
    <w:rsid w:val="23A668CE"/>
    <w:rsid w:val="24F36A15"/>
    <w:rsid w:val="264A5967"/>
    <w:rsid w:val="270C7A9C"/>
    <w:rsid w:val="288F6D8D"/>
    <w:rsid w:val="297D0013"/>
    <w:rsid w:val="29C91C65"/>
    <w:rsid w:val="2A6A2389"/>
    <w:rsid w:val="2BA4289F"/>
    <w:rsid w:val="2DD344EB"/>
    <w:rsid w:val="2E81512B"/>
    <w:rsid w:val="2E840C4D"/>
    <w:rsid w:val="2FBB5D63"/>
    <w:rsid w:val="30A074C6"/>
    <w:rsid w:val="3108379B"/>
    <w:rsid w:val="316C3FBD"/>
    <w:rsid w:val="334E3AFE"/>
    <w:rsid w:val="353A10CA"/>
    <w:rsid w:val="359B4C5E"/>
    <w:rsid w:val="365A5303"/>
    <w:rsid w:val="367B5AA1"/>
    <w:rsid w:val="367D01B8"/>
    <w:rsid w:val="369142AA"/>
    <w:rsid w:val="36A061AA"/>
    <w:rsid w:val="377A5868"/>
    <w:rsid w:val="377D78E9"/>
    <w:rsid w:val="38454968"/>
    <w:rsid w:val="384E37A0"/>
    <w:rsid w:val="389A4253"/>
    <w:rsid w:val="394E4380"/>
    <w:rsid w:val="395E6FD3"/>
    <w:rsid w:val="3A0E1C7F"/>
    <w:rsid w:val="3BC6640B"/>
    <w:rsid w:val="3E0C157A"/>
    <w:rsid w:val="3EB7641F"/>
    <w:rsid w:val="40B8049C"/>
    <w:rsid w:val="426A567D"/>
    <w:rsid w:val="42881ED3"/>
    <w:rsid w:val="43D61FF8"/>
    <w:rsid w:val="43E70ED6"/>
    <w:rsid w:val="456E4678"/>
    <w:rsid w:val="459B2563"/>
    <w:rsid w:val="463B70DD"/>
    <w:rsid w:val="46CF32E7"/>
    <w:rsid w:val="47C324F3"/>
    <w:rsid w:val="48AB669F"/>
    <w:rsid w:val="4914515B"/>
    <w:rsid w:val="4B6F7187"/>
    <w:rsid w:val="4C740DF4"/>
    <w:rsid w:val="4C9B08DE"/>
    <w:rsid w:val="4D895DEA"/>
    <w:rsid w:val="4D9268D7"/>
    <w:rsid w:val="4DB74E62"/>
    <w:rsid w:val="4EBA695F"/>
    <w:rsid w:val="4F446AE3"/>
    <w:rsid w:val="508168FD"/>
    <w:rsid w:val="50CA0F98"/>
    <w:rsid w:val="510D3BAD"/>
    <w:rsid w:val="51E771B8"/>
    <w:rsid w:val="520A78B6"/>
    <w:rsid w:val="52B643D1"/>
    <w:rsid w:val="53E7587E"/>
    <w:rsid w:val="54433B65"/>
    <w:rsid w:val="55753579"/>
    <w:rsid w:val="557D33D0"/>
    <w:rsid w:val="55EE6B59"/>
    <w:rsid w:val="573D3F78"/>
    <w:rsid w:val="5758713F"/>
    <w:rsid w:val="58687038"/>
    <w:rsid w:val="58821127"/>
    <w:rsid w:val="58A9689E"/>
    <w:rsid w:val="5B3812A2"/>
    <w:rsid w:val="5B8B79DA"/>
    <w:rsid w:val="5CF26738"/>
    <w:rsid w:val="5E316836"/>
    <w:rsid w:val="5E903520"/>
    <w:rsid w:val="5EE63E3A"/>
    <w:rsid w:val="600D48EC"/>
    <w:rsid w:val="6173670D"/>
    <w:rsid w:val="617E5267"/>
    <w:rsid w:val="61F81108"/>
    <w:rsid w:val="62BA7460"/>
    <w:rsid w:val="62C11708"/>
    <w:rsid w:val="62F86F84"/>
    <w:rsid w:val="630532F0"/>
    <w:rsid w:val="63BB4445"/>
    <w:rsid w:val="63D30A5E"/>
    <w:rsid w:val="64482AE3"/>
    <w:rsid w:val="649B5389"/>
    <w:rsid w:val="64A02E01"/>
    <w:rsid w:val="65BE5195"/>
    <w:rsid w:val="65ED3FE7"/>
    <w:rsid w:val="67E708E1"/>
    <w:rsid w:val="6BF13845"/>
    <w:rsid w:val="6CB67D76"/>
    <w:rsid w:val="6D535020"/>
    <w:rsid w:val="6F1A2470"/>
    <w:rsid w:val="732F4789"/>
    <w:rsid w:val="735E5042"/>
    <w:rsid w:val="743701A9"/>
    <w:rsid w:val="751A7897"/>
    <w:rsid w:val="76830CE6"/>
    <w:rsid w:val="79B24DAD"/>
    <w:rsid w:val="79E96600"/>
    <w:rsid w:val="7A903DEA"/>
    <w:rsid w:val="7BBE3E29"/>
    <w:rsid w:val="7BCA1F08"/>
    <w:rsid w:val="7BFD3DF6"/>
    <w:rsid w:val="7E211A48"/>
    <w:rsid w:val="7F6A690A"/>
    <w:rsid w:val="7F904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autoRedefine/>
    <w:qFormat/>
    <w:uiPriority w:val="0"/>
    <w:pPr>
      <w:tabs>
        <w:tab w:val="center" w:pos="4153"/>
        <w:tab w:val="right" w:pos="8306"/>
      </w:tabs>
      <w:snapToGrid w:val="0"/>
      <w:jc w:val="left"/>
    </w:pPr>
    <w:rPr>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Autospacing="1" w:afterAutospacing="1"/>
      <w:jc w:val="left"/>
    </w:pPr>
    <w:rPr>
      <w:kern w:val="0"/>
      <w:sz w:val="24"/>
    </w:rPr>
  </w:style>
  <w:style w:type="character" w:customStyle="1" w:styleId="7">
    <w:name w:val="页眉 Char"/>
    <w:basedOn w:val="6"/>
    <w:link w:val="3"/>
    <w:autoRedefine/>
    <w:qFormat/>
    <w:uiPriority w:val="0"/>
    <w:rPr>
      <w:rFonts w:ascii="Calibri" w:hAnsi="Calibri"/>
      <w:kern w:val="2"/>
      <w:sz w:val="18"/>
      <w:szCs w:val="18"/>
    </w:rPr>
  </w:style>
  <w:style w:type="character" w:customStyle="1" w:styleId="8">
    <w:name w:val="页脚 Char"/>
    <w:basedOn w:val="6"/>
    <w:link w:val="2"/>
    <w:autoRedefine/>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Template>
  <Pages>2</Pages>
  <Words>906</Words>
  <Characters>957</Characters>
  <Lines>11</Lines>
  <Paragraphs>3</Paragraphs>
  <TotalTime>0</TotalTime>
  <ScaleCrop>false</ScaleCrop>
  <LinksUpToDate>false</LinksUpToDate>
  <CharactersWithSpaces>1016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2018-09-28T08:59:00Z</dcterms:created>
  <dc:creator>余生      </dc:creator>
  <cp:lastModifiedBy>MJ。</cp:lastModifiedBy>
  <cp:lastPrinted>2024-04-24T12:59:00Z</cp:lastPrinted>
  <dcterms:modified xsi:type="dcterms:W3CDTF">2025-06-03T05:19:37Z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B87DF7F418E0411989875468A5A2B19E_13</vt:lpwstr>
  </property>
  <property fmtid="{D5CDD505-2E9C-101B-9397-08002B2CF9AE}" pid="4" name="KSOTemplateDocerSaveRecord">
    <vt:lpwstr>eyJoZGlkIjoiMTg0NTZkMTAxYWFjYjY4MTJjMjlkNWY4MTE0OTVkZGQiLCJ1c2VySWQiOiIzMzI4MTUxNzYifQ==</vt:lpwstr>
  </property>
</Properties>
</file>